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D7F4" w14:textId="77777777" w:rsidR="00A6643B" w:rsidRPr="006B49B5" w:rsidRDefault="00A6643B" w:rsidP="00A6643B">
      <w:pPr>
        <w:shd w:val="clear" w:color="auto" w:fill="FFFFFF"/>
        <w:spacing w:after="150" w:line="240" w:lineRule="auto"/>
        <w:rPr>
          <w:rFonts w:eastAsia="Times New Roman" w:cs="Times New Roman"/>
          <w:color w:val="333333"/>
          <w:sz w:val="24"/>
          <w:szCs w:val="24"/>
        </w:rPr>
      </w:pPr>
      <w:r w:rsidRPr="006B49B5">
        <w:rPr>
          <w:rFonts w:eastAsia="Times New Roman" w:cs="Times New Roman"/>
          <w:color w:val="333333"/>
          <w:sz w:val="24"/>
          <w:szCs w:val="24"/>
        </w:rPr>
        <w:t xml:space="preserve">A great way to support the three-fold mission of the </w:t>
      </w:r>
      <w:r>
        <w:rPr>
          <w:rFonts w:eastAsia="Times New Roman" w:cs="Times New Roman"/>
          <w:color w:val="333333"/>
          <w:sz w:val="24"/>
          <w:szCs w:val="24"/>
        </w:rPr>
        <w:t xml:space="preserve">National </w:t>
      </w:r>
      <w:r w:rsidRPr="006B49B5">
        <w:rPr>
          <w:rFonts w:eastAsia="Times New Roman" w:cs="Times New Roman"/>
          <w:color w:val="333333"/>
          <w:sz w:val="24"/>
          <w:szCs w:val="24"/>
        </w:rPr>
        <w:t xml:space="preserve">Scleroderma Foundation Michigan Chapter is by remembering the organization when you do a required minimum distribution. </w:t>
      </w:r>
    </w:p>
    <w:p w14:paraId="1AC39B36" w14:textId="77777777" w:rsidR="00A6643B" w:rsidRPr="006B49B5" w:rsidRDefault="00A6643B" w:rsidP="00A6643B">
      <w:pPr>
        <w:shd w:val="clear" w:color="auto" w:fill="FFFFFF"/>
        <w:spacing w:before="300" w:after="150" w:line="240" w:lineRule="auto"/>
        <w:outlineLvl w:val="2"/>
        <w:rPr>
          <w:rFonts w:eastAsia="Times New Roman" w:cs="Times New Roman"/>
          <w:b/>
          <w:bCs/>
          <w:color w:val="333333"/>
          <w:sz w:val="24"/>
          <w:szCs w:val="24"/>
        </w:rPr>
      </w:pPr>
      <w:r w:rsidRPr="006B49B5">
        <w:rPr>
          <w:rFonts w:eastAsia="Times New Roman" w:cs="Times New Roman"/>
          <w:b/>
          <w:bCs/>
          <w:color w:val="333333"/>
          <w:sz w:val="24"/>
          <w:szCs w:val="24"/>
        </w:rPr>
        <w:t>What are Required Minimum Distributions?</w:t>
      </w:r>
    </w:p>
    <w:p w14:paraId="5D262BED" w14:textId="77777777" w:rsidR="00A6643B" w:rsidRPr="006B49B5" w:rsidRDefault="00A6643B" w:rsidP="00A6643B">
      <w:pPr>
        <w:shd w:val="clear" w:color="auto" w:fill="FFFFFF"/>
        <w:spacing w:after="150" w:line="240" w:lineRule="auto"/>
        <w:rPr>
          <w:rFonts w:eastAsia="Times New Roman" w:cs="Times New Roman"/>
          <w:color w:val="333333"/>
          <w:sz w:val="24"/>
          <w:szCs w:val="24"/>
        </w:rPr>
      </w:pPr>
      <w:r w:rsidRPr="006B49B5">
        <w:rPr>
          <w:rFonts w:eastAsia="Times New Roman" w:cs="Times New Roman"/>
          <w:color w:val="333333"/>
          <w:sz w:val="24"/>
          <w:szCs w:val="24"/>
        </w:rPr>
        <w:t>Required Minimum Distributions (RMDs) generally are minimum amounts that a retirement plan account owner must withdraw annually starting with the year that he or she reaches 70 ½ years of age or, if later, the year in which he or she retires. However, if the retirement plan account is an IRA or the account owner is a 5% owner of the business sponsoring the retirement plan, the RMDs must begin once the account holder is age 70 ½, regardless of whether he or she is retired.</w:t>
      </w:r>
    </w:p>
    <w:p w14:paraId="1C6FFD9D" w14:textId="77777777" w:rsidR="00A6643B" w:rsidRPr="006B49B5" w:rsidRDefault="00A6643B" w:rsidP="00A6643B">
      <w:pPr>
        <w:shd w:val="clear" w:color="auto" w:fill="FFFFFF"/>
        <w:spacing w:after="150" w:line="240" w:lineRule="auto"/>
        <w:rPr>
          <w:rFonts w:eastAsia="Times New Roman" w:cs="Times New Roman"/>
          <w:color w:val="333333"/>
          <w:sz w:val="24"/>
          <w:szCs w:val="24"/>
        </w:rPr>
      </w:pPr>
      <w:r w:rsidRPr="006B49B5">
        <w:rPr>
          <w:rFonts w:eastAsia="Times New Roman" w:cs="Times New Roman"/>
          <w:color w:val="333333"/>
          <w:sz w:val="24"/>
          <w:szCs w:val="24"/>
        </w:rPr>
        <w:t>Retirement plan participants and IRA owners, including owners of SEP IRAs and SIMPLE IRAs, are responsible for taking the correct amount of RMDs on time every year from their accounts, and they face stiff penalties for failure to take RMDs.</w:t>
      </w:r>
    </w:p>
    <w:p w14:paraId="0F6133B3" w14:textId="77777777" w:rsidR="00A6643B" w:rsidRPr="006B49B5" w:rsidRDefault="00A6643B" w:rsidP="00A6643B">
      <w:pPr>
        <w:shd w:val="clear" w:color="auto" w:fill="FFFFFF"/>
        <w:spacing w:after="150" w:line="240" w:lineRule="auto"/>
        <w:rPr>
          <w:rFonts w:eastAsia="Times New Roman" w:cs="Times New Roman"/>
          <w:color w:val="333333"/>
          <w:sz w:val="24"/>
          <w:szCs w:val="24"/>
        </w:rPr>
      </w:pPr>
      <w:r w:rsidRPr="006B49B5">
        <w:rPr>
          <w:rFonts w:eastAsia="Times New Roman" w:cs="Times New Roman"/>
          <w:color w:val="333333"/>
          <w:sz w:val="24"/>
          <w:szCs w:val="24"/>
        </w:rPr>
        <w:t>When a retirement plan account owner or IRA owner dies before RMDs have begun, different RMD rules apply to the beneficiary of the account or IRA. Generally, the entire amount of the owner’s benefit must be distributed to the beneficiary who is an individual either (1) within 5 years of the owner’s death, or (2) over the life of the beneficiary starting no later than one year following the owner’s death. See </w:t>
      </w:r>
      <w:hyperlink r:id="rId7" w:history="1">
        <w:r w:rsidRPr="006B49B5">
          <w:rPr>
            <w:rFonts w:eastAsia="Times New Roman" w:cs="Times New Roman"/>
            <w:color w:val="800080"/>
            <w:sz w:val="24"/>
            <w:szCs w:val="24"/>
            <w:u w:val="single"/>
          </w:rPr>
          <w:t>Publication 590-B</w:t>
        </w:r>
      </w:hyperlink>
      <w:r w:rsidRPr="006B49B5">
        <w:rPr>
          <w:rFonts w:eastAsia="Times New Roman" w:cs="Times New Roman"/>
          <w:color w:val="333333"/>
          <w:sz w:val="24"/>
          <w:szCs w:val="24"/>
        </w:rPr>
        <w:t>, </w:t>
      </w:r>
      <w:r w:rsidRPr="006B49B5">
        <w:rPr>
          <w:rFonts w:eastAsia="Times New Roman" w:cs="Times New Roman"/>
          <w:i/>
          <w:iCs/>
          <w:color w:val="333333"/>
          <w:sz w:val="24"/>
          <w:szCs w:val="24"/>
        </w:rPr>
        <w:t>Distributions from Individual Retirement Arrangements (IRAs)</w:t>
      </w:r>
      <w:r w:rsidRPr="006B49B5">
        <w:rPr>
          <w:rFonts w:eastAsia="Times New Roman" w:cs="Times New Roman"/>
          <w:color w:val="333333"/>
          <w:sz w:val="24"/>
          <w:szCs w:val="24"/>
        </w:rPr>
        <w:t xml:space="preserve">, for complete </w:t>
      </w:r>
      <w:r w:rsidRPr="006B49B5">
        <w:rPr>
          <w:rFonts w:eastAsia="Times New Roman" w:cs="Times New Roman"/>
          <w:color w:val="333333"/>
          <w:sz w:val="24"/>
          <w:szCs w:val="24"/>
        </w:rPr>
        <w:t>details on when beneficiaries must start receiving RMDs.</w:t>
      </w:r>
    </w:p>
    <w:p w14:paraId="1F090E54"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What types of retirement plans require minimum distributions?</w:t>
      </w:r>
    </w:p>
    <w:p w14:paraId="39777E1D"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The RMD rules apply to all employer sponsored retirement plans, including</w:t>
      </w:r>
      <w:r>
        <w:rPr>
          <w:rFonts w:ascii="Source Sans Pro" w:hAnsi="Source Sans Pro"/>
          <w:color w:val="333333"/>
        </w:rPr>
        <w:br/>
        <w:t>profit-sharing plans, 401(k) plans, 403(b) plans, and 457(b) plans. The RMD rules also apply to traditional IRAs and IRA-based plans such as SEPs, SARSEPs, and SIMPLE IRAs.</w:t>
      </w:r>
    </w:p>
    <w:p w14:paraId="382DF0F5"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The RMD rules also apply to Roth 401(k) accounts. However, the RMD rules do not apply to Roth IRAs while the owner is alive.</w:t>
      </w:r>
    </w:p>
    <w:p w14:paraId="5581B959" w14:textId="77777777" w:rsidR="00A6643B" w:rsidRDefault="00A6643B" w:rsidP="00A6643B">
      <w:pPr>
        <w:shd w:val="clear" w:color="auto" w:fill="FFFFFF"/>
        <w:spacing w:after="150" w:line="240" w:lineRule="auto"/>
        <w:rPr>
          <w:rFonts w:eastAsia="Times New Roman" w:cs="Times New Roman"/>
          <w:color w:val="333333"/>
          <w:sz w:val="24"/>
          <w:szCs w:val="24"/>
        </w:rPr>
      </w:pPr>
    </w:p>
    <w:p w14:paraId="6CB07D12"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When must I receive my required minimum distribution from my IRA?</w:t>
      </w:r>
    </w:p>
    <w:p w14:paraId="49BB1167"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You must take your first required minimum distribution for the year in which you turn age 70½. However, the first payment can be delayed until April 1 of the year following the year in which you turn 70½. For all subsequent years, including the year in which you were paid the first RMD by April 1, you must take the RMD by December 31 of the year.</w:t>
      </w:r>
    </w:p>
    <w:p w14:paraId="28976B9E"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A different deadline may apply to RMDs from pre-1987 contributions to a 403(b) plan (see FAQ 5 below).</w:t>
      </w:r>
    </w:p>
    <w:p w14:paraId="54086603"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lastRenderedPageBreak/>
        <w:t>How is the amount of the required minimum distribution calculated?</w:t>
      </w:r>
    </w:p>
    <w:p w14:paraId="613E6438"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Generally, a RMD is calculated for each account by dividing the prior December 31 balance of that IRA or retirement plan account by a life expectancy factor that IRS publishes in Tables in </w:t>
      </w:r>
      <w:hyperlink r:id="rId8" w:history="1">
        <w:r w:rsidRPr="006B49B5">
          <w:rPr>
            <w:rFonts w:ascii="Source Sans Pro" w:eastAsia="Times New Roman" w:hAnsi="Source Sans Pro" w:cs="Times New Roman"/>
            <w:color w:val="800080"/>
            <w:sz w:val="24"/>
            <w:szCs w:val="24"/>
            <w:u w:val="single"/>
          </w:rPr>
          <w:t>Publication 590-B</w:t>
        </w:r>
      </w:hyperlink>
      <w:r w:rsidRPr="006B49B5">
        <w:rPr>
          <w:rFonts w:ascii="Source Sans Pro" w:eastAsia="Times New Roman" w:hAnsi="Source Sans Pro" w:cs="Times New Roman"/>
          <w:color w:val="333333"/>
          <w:sz w:val="24"/>
          <w:szCs w:val="24"/>
        </w:rPr>
        <w:t>, </w:t>
      </w:r>
      <w:r w:rsidRPr="006B49B5">
        <w:rPr>
          <w:rFonts w:ascii="Source Sans Pro" w:eastAsia="Times New Roman" w:hAnsi="Source Sans Pro" w:cs="Times New Roman"/>
          <w:i/>
          <w:iCs/>
          <w:color w:val="333333"/>
          <w:sz w:val="24"/>
          <w:szCs w:val="24"/>
        </w:rPr>
        <w:t>Distributions from Individual Retirement Arrangements (IRAs)</w:t>
      </w:r>
      <w:r w:rsidRPr="006B49B5">
        <w:rPr>
          <w:rFonts w:ascii="Source Sans Pro" w:eastAsia="Times New Roman" w:hAnsi="Source Sans Pro" w:cs="Times New Roman"/>
          <w:color w:val="333333"/>
          <w:sz w:val="24"/>
          <w:szCs w:val="24"/>
        </w:rPr>
        <w:t>. Choose the life expectancy table to use based on your situation. </w:t>
      </w:r>
    </w:p>
    <w:p w14:paraId="31979E19" w14:textId="77777777" w:rsidR="00A6643B" w:rsidRPr="006B49B5" w:rsidRDefault="00A6643B" w:rsidP="00A6643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hyperlink r:id="rId9" w:history="1">
        <w:r w:rsidRPr="006B49B5">
          <w:rPr>
            <w:rFonts w:ascii="Source Sans Pro" w:eastAsia="Times New Roman" w:hAnsi="Source Sans Pro" w:cs="Times New Roman"/>
            <w:color w:val="800080"/>
            <w:sz w:val="24"/>
            <w:szCs w:val="24"/>
            <w:u w:val="single"/>
          </w:rPr>
          <w:t>Joint and Last Survivor Table</w:t>
        </w:r>
      </w:hyperlink>
      <w:r w:rsidRPr="006B49B5">
        <w:rPr>
          <w:rFonts w:ascii="Source Sans Pro" w:eastAsia="Times New Roman" w:hAnsi="Source Sans Pro" w:cs="Times New Roman"/>
          <w:color w:val="333333"/>
          <w:sz w:val="24"/>
          <w:szCs w:val="24"/>
        </w:rPr>
        <w:t> - use this if the sole beneficiary of the account is your spouse and your spouse is more than 10 years younger than you</w:t>
      </w:r>
    </w:p>
    <w:p w14:paraId="2098F22F" w14:textId="77777777" w:rsidR="00A6643B" w:rsidRPr="006B49B5" w:rsidRDefault="00A6643B" w:rsidP="00A6643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hyperlink r:id="rId10" w:history="1">
        <w:r w:rsidRPr="006B49B5">
          <w:rPr>
            <w:rFonts w:ascii="Source Sans Pro" w:eastAsia="Times New Roman" w:hAnsi="Source Sans Pro" w:cs="Times New Roman"/>
            <w:color w:val="800080"/>
            <w:sz w:val="24"/>
            <w:szCs w:val="24"/>
            <w:u w:val="single"/>
          </w:rPr>
          <w:t>Uniform Lifetime Table</w:t>
        </w:r>
      </w:hyperlink>
      <w:r w:rsidRPr="006B49B5">
        <w:rPr>
          <w:rFonts w:ascii="Source Sans Pro" w:eastAsia="Times New Roman" w:hAnsi="Source Sans Pro" w:cs="Times New Roman"/>
          <w:color w:val="333333"/>
          <w:sz w:val="24"/>
          <w:szCs w:val="24"/>
        </w:rPr>
        <w:t> - use this if your spouse is not your sole beneficiary or your spouse is not more than 10 years younger</w:t>
      </w:r>
    </w:p>
    <w:p w14:paraId="268FCB65" w14:textId="77777777" w:rsidR="00A6643B" w:rsidRPr="006B49B5" w:rsidRDefault="00A6643B" w:rsidP="00A6643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hyperlink r:id="rId11" w:history="1">
        <w:r w:rsidRPr="006B49B5">
          <w:rPr>
            <w:rFonts w:ascii="Source Sans Pro" w:eastAsia="Times New Roman" w:hAnsi="Source Sans Pro" w:cs="Times New Roman"/>
            <w:color w:val="800080"/>
            <w:sz w:val="24"/>
            <w:szCs w:val="24"/>
            <w:u w:val="single"/>
          </w:rPr>
          <w:t>Single Life Expectancy Table</w:t>
        </w:r>
      </w:hyperlink>
      <w:r w:rsidRPr="006B49B5">
        <w:rPr>
          <w:rFonts w:ascii="Source Sans Pro" w:eastAsia="Times New Roman" w:hAnsi="Source Sans Pro" w:cs="Times New Roman"/>
          <w:color w:val="333333"/>
          <w:sz w:val="24"/>
          <w:szCs w:val="24"/>
        </w:rPr>
        <w:t> - use this if you are a beneficiary of an account (an inherited IRA)</w:t>
      </w:r>
    </w:p>
    <w:p w14:paraId="757A9EC1"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See the </w:t>
      </w:r>
      <w:hyperlink r:id="rId12" w:tooltip="Required Minimum Distribution Worksheets" w:history="1">
        <w:r w:rsidRPr="006B49B5">
          <w:rPr>
            <w:rFonts w:ascii="Source Sans Pro" w:eastAsia="Times New Roman" w:hAnsi="Source Sans Pro" w:cs="Times New Roman"/>
            <w:color w:val="800080"/>
            <w:sz w:val="24"/>
            <w:szCs w:val="24"/>
            <w:u w:val="single"/>
          </w:rPr>
          <w:t>worksheets</w:t>
        </w:r>
      </w:hyperlink>
      <w:r w:rsidRPr="006B49B5">
        <w:rPr>
          <w:rFonts w:ascii="Source Sans Pro" w:eastAsia="Times New Roman" w:hAnsi="Source Sans Pro" w:cs="Times New Roman"/>
          <w:color w:val="333333"/>
          <w:sz w:val="24"/>
          <w:szCs w:val="24"/>
        </w:rPr>
        <w:t> to calculate required minimum distributions and the FAQ below for different rules that may apply to 403(b) plans.</w:t>
      </w:r>
    </w:p>
    <w:p w14:paraId="7C2953BC"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Can an account owner just take a RMD from one account instead of separately from each account?</w:t>
      </w:r>
    </w:p>
    <w:p w14:paraId="587E5CCA"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An IRA owner must calculate the RMD separately for each IRA that he or she owns but can withdraw the total amount from one or more of the IRAs. Similarly, a 403(b)-contract owner must calculate the RMD separately for each 403(b) contract that he or she owns but can take the total amount from one or more of the 403(b) contracts.</w:t>
      </w:r>
    </w:p>
    <w:p w14:paraId="02BA9737"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However, RMDs required from other types of retirement plans, such as 401(k) and 457(b) plans must be taken separately from each of those plan accounts.</w:t>
      </w:r>
    </w:p>
    <w:p w14:paraId="4B47C6B0"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Who calculates the amount of the RMD?</w:t>
      </w:r>
    </w:p>
    <w:p w14:paraId="1B9E2024"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Although the IRA custodian or retirement plan administrator may calculate the RMD, the IRA or retirement plan account owner is ultimately responsible for calculating the amount of the RMD.</w:t>
      </w:r>
    </w:p>
    <w:p w14:paraId="1C43B329"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Can an account owner withdraw more than the RMD?</w:t>
      </w:r>
    </w:p>
    <w:p w14:paraId="6C3CFA91"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Yes.</w:t>
      </w:r>
    </w:p>
    <w:p w14:paraId="7A65823C"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What happens if a person does not take a RMD by the required deadline?</w:t>
      </w:r>
    </w:p>
    <w:p w14:paraId="234237DA"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 xml:space="preserve">If an account owner fails to withdraw </w:t>
      </w:r>
      <w:proofErr w:type="gramStart"/>
      <w:r w:rsidRPr="006B49B5">
        <w:rPr>
          <w:rFonts w:ascii="Source Sans Pro" w:eastAsia="Times New Roman" w:hAnsi="Source Sans Pro" w:cs="Times New Roman"/>
          <w:color w:val="333333"/>
          <w:sz w:val="24"/>
          <w:szCs w:val="24"/>
        </w:rPr>
        <w:t>a</w:t>
      </w:r>
      <w:proofErr w:type="gramEnd"/>
      <w:r w:rsidRPr="006B49B5">
        <w:rPr>
          <w:rFonts w:ascii="Source Sans Pro" w:eastAsia="Times New Roman" w:hAnsi="Source Sans Pro" w:cs="Times New Roman"/>
          <w:color w:val="333333"/>
          <w:sz w:val="24"/>
          <w:szCs w:val="24"/>
        </w:rPr>
        <w:t xml:space="preserve"> RMD, fails to withdraw the full amount of the RMD, or fails to withdraw the RMD by the applicable deadline, the amount not withdrawn is taxed at 50%. The account owner should file </w:t>
      </w:r>
      <w:hyperlink r:id="rId13" w:history="1">
        <w:r w:rsidRPr="006B49B5">
          <w:rPr>
            <w:rFonts w:ascii="Source Sans Pro" w:eastAsia="Times New Roman" w:hAnsi="Source Sans Pro" w:cs="Times New Roman"/>
            <w:color w:val="800080"/>
            <w:sz w:val="24"/>
            <w:szCs w:val="24"/>
            <w:u w:val="single"/>
          </w:rPr>
          <w:t>Form 5329</w:t>
        </w:r>
      </w:hyperlink>
      <w:r w:rsidRPr="006B49B5">
        <w:rPr>
          <w:rFonts w:ascii="Source Sans Pro" w:eastAsia="Times New Roman" w:hAnsi="Source Sans Pro" w:cs="Times New Roman"/>
          <w:color w:val="333333"/>
          <w:sz w:val="24"/>
          <w:szCs w:val="24"/>
        </w:rPr>
        <w:t>, </w:t>
      </w:r>
      <w:r w:rsidRPr="006B49B5">
        <w:rPr>
          <w:rFonts w:ascii="Source Sans Pro" w:eastAsia="Times New Roman" w:hAnsi="Source Sans Pro" w:cs="Times New Roman"/>
          <w:i/>
          <w:iCs/>
          <w:color w:val="333333"/>
          <w:sz w:val="24"/>
          <w:szCs w:val="24"/>
        </w:rPr>
        <w:t>Additional Taxes on Qualified Plans (Including IRAs) and Other Tax-Favored Accounts</w:t>
      </w:r>
      <w:r w:rsidRPr="006B49B5">
        <w:rPr>
          <w:rFonts w:ascii="Source Sans Pro" w:eastAsia="Times New Roman" w:hAnsi="Source Sans Pro" w:cs="Times New Roman"/>
          <w:color w:val="333333"/>
          <w:sz w:val="24"/>
          <w:szCs w:val="24"/>
        </w:rPr>
        <w:t>, with his or her federal tax return for the year in which the full amount of the RMD was not taken.</w:t>
      </w:r>
    </w:p>
    <w:p w14:paraId="3E656A01" w14:textId="77777777" w:rsidR="00A6643B" w:rsidRDefault="00A6643B" w:rsidP="00A6643B">
      <w:pPr>
        <w:shd w:val="clear" w:color="auto" w:fill="FFFFFF"/>
        <w:spacing w:after="150" w:line="240" w:lineRule="auto"/>
        <w:rPr>
          <w:rFonts w:eastAsia="Times New Roman" w:cs="Times New Roman"/>
          <w:color w:val="333333"/>
          <w:sz w:val="24"/>
          <w:szCs w:val="24"/>
        </w:rPr>
      </w:pPr>
    </w:p>
    <w:p w14:paraId="53A090F6"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Can the penalty for not taking the full RMD be waived?</w:t>
      </w:r>
    </w:p>
    <w:p w14:paraId="51E61D16" w14:textId="77777777" w:rsidR="00A6643B"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Yes, the penalty may be waived if the account owner establishes that the shortfall in distributions was due to reasonable error and that reasonable steps are being taken to remedy the shortfall. In order to qualify for this relief, you must file </w:t>
      </w:r>
      <w:hyperlink r:id="rId14" w:history="1">
        <w:r w:rsidRPr="006B49B5">
          <w:rPr>
            <w:rFonts w:ascii="Source Sans Pro" w:eastAsia="Times New Roman" w:hAnsi="Source Sans Pro" w:cs="Times New Roman"/>
            <w:color w:val="800080"/>
            <w:sz w:val="24"/>
            <w:szCs w:val="24"/>
            <w:u w:val="single"/>
          </w:rPr>
          <w:t>Form 5329</w:t>
        </w:r>
      </w:hyperlink>
      <w:r w:rsidRPr="006B49B5">
        <w:rPr>
          <w:rFonts w:ascii="Source Sans Pro" w:eastAsia="Times New Roman" w:hAnsi="Source Sans Pro" w:cs="Times New Roman"/>
          <w:color w:val="333333"/>
          <w:sz w:val="24"/>
          <w:szCs w:val="24"/>
        </w:rPr>
        <w:t> and attach a letter of explanation. See the </w:t>
      </w:r>
      <w:hyperlink r:id="rId15" w:tooltip="2016 Inst 5329                           (PDF) 1" w:history="1">
        <w:r w:rsidRPr="006B49B5">
          <w:rPr>
            <w:rFonts w:ascii="Source Sans Pro" w:eastAsia="Times New Roman" w:hAnsi="Source Sans Pro" w:cs="Times New Roman"/>
            <w:color w:val="800080"/>
            <w:sz w:val="24"/>
            <w:szCs w:val="24"/>
            <w:u w:val="single"/>
          </w:rPr>
          <w:t>instructions to Form 5329</w:t>
        </w:r>
      </w:hyperlink>
      <w:r w:rsidRPr="006B49B5">
        <w:rPr>
          <w:rFonts w:ascii="Source Sans Pro" w:eastAsia="Times New Roman" w:hAnsi="Source Sans Pro" w:cs="Times New Roman"/>
          <w:color w:val="333333"/>
          <w:sz w:val="24"/>
          <w:szCs w:val="24"/>
        </w:rPr>
        <w:t>.</w:t>
      </w:r>
    </w:p>
    <w:p w14:paraId="03F6A82B" w14:textId="77777777" w:rsidR="00A6643B" w:rsidRDefault="00A6643B" w:rsidP="00A6643B">
      <w:pPr>
        <w:shd w:val="clear" w:color="auto" w:fill="FFFFFF"/>
        <w:spacing w:after="150" w:line="240" w:lineRule="auto"/>
        <w:rPr>
          <w:rFonts w:ascii="Source Sans Pro" w:eastAsia="Times New Roman" w:hAnsi="Source Sans Pro" w:cs="Times New Roman"/>
          <w:color w:val="333333"/>
          <w:sz w:val="24"/>
          <w:szCs w:val="24"/>
        </w:rPr>
      </w:pPr>
    </w:p>
    <w:p w14:paraId="289E1E90" w14:textId="77777777" w:rsidR="00A6643B" w:rsidRDefault="00A6643B" w:rsidP="00A6643B">
      <w:pPr>
        <w:pStyle w:val="Heading3"/>
        <w:shd w:val="clear" w:color="auto" w:fill="FFFFFF"/>
        <w:spacing w:before="300" w:beforeAutospacing="0" w:after="150" w:afterAutospacing="0"/>
        <w:rPr>
          <w:rFonts w:ascii="Source Sans Pro" w:hAnsi="Source Sans Pro"/>
          <w:color w:val="333333"/>
          <w:sz w:val="29"/>
          <w:szCs w:val="29"/>
        </w:rPr>
      </w:pPr>
      <w:r>
        <w:rPr>
          <w:rStyle w:val="Strong"/>
          <w:rFonts w:ascii="Source Sans Pro" w:hAnsi="Source Sans Pro"/>
          <w:color w:val="333333"/>
          <w:sz w:val="29"/>
          <w:szCs w:val="29"/>
        </w:rPr>
        <w:t>Can a distribution in excess of the RMD for one year be applied to the RMD for a future year?</w:t>
      </w:r>
    </w:p>
    <w:p w14:paraId="550742D8" w14:textId="77777777" w:rsidR="00A6643B" w:rsidRDefault="00A6643B" w:rsidP="00A6643B">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No.</w:t>
      </w:r>
    </w:p>
    <w:p w14:paraId="129C2BB8"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How are RMDs taxed?</w:t>
      </w:r>
    </w:p>
    <w:p w14:paraId="0C45DDC1"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The account owner is taxed at his or her income tax rate on the amount of the withdrawn RMD.  However, to the extent the RMD is a return of </w:t>
      </w:r>
      <w:hyperlink r:id="rId16" w:tooltip="Publication 590-B (2016), Distributions from Individual Retirement Arrangements (IRAs) " w:history="1">
        <w:r w:rsidRPr="006B49B5">
          <w:rPr>
            <w:rFonts w:ascii="Source Sans Pro" w:eastAsia="Times New Roman" w:hAnsi="Source Sans Pro" w:cs="Times New Roman"/>
            <w:color w:val="800080"/>
            <w:sz w:val="24"/>
            <w:szCs w:val="24"/>
            <w:u w:val="single"/>
          </w:rPr>
          <w:t>basis or is a qualified distribution from a Roth IRA</w:t>
        </w:r>
      </w:hyperlink>
      <w:r w:rsidRPr="006B49B5">
        <w:rPr>
          <w:rFonts w:ascii="Source Sans Pro" w:eastAsia="Times New Roman" w:hAnsi="Source Sans Pro" w:cs="Times New Roman"/>
          <w:color w:val="333333"/>
          <w:sz w:val="24"/>
          <w:szCs w:val="24"/>
        </w:rPr>
        <w:t>, it is tax free.</w:t>
      </w:r>
    </w:p>
    <w:p w14:paraId="43695D4D"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Can RMD amounts be rolled over into another tax-deferred account?</w:t>
      </w:r>
      <w:r w:rsidRPr="006B49B5">
        <w:rPr>
          <w:rFonts w:ascii="Source Sans Pro" w:eastAsia="Times New Roman" w:hAnsi="Source Sans Pro" w:cs="Times New Roman"/>
          <w:b/>
          <w:bCs/>
          <w:color w:val="333333"/>
          <w:sz w:val="29"/>
          <w:szCs w:val="29"/>
        </w:rPr>
        <w:br/>
        <w:t> </w:t>
      </w:r>
    </w:p>
    <w:p w14:paraId="3C2D21B9"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No. Please refer to </w:t>
      </w:r>
      <w:hyperlink r:id="rId17" w:history="1">
        <w:r w:rsidRPr="006B49B5">
          <w:rPr>
            <w:rFonts w:ascii="Source Sans Pro" w:eastAsia="Times New Roman" w:hAnsi="Source Sans Pro" w:cs="Times New Roman"/>
            <w:color w:val="800080"/>
            <w:sz w:val="24"/>
            <w:szCs w:val="24"/>
            <w:u w:val="single"/>
          </w:rPr>
          <w:t>Publication 590-B</w:t>
        </w:r>
      </w:hyperlink>
      <w:r w:rsidRPr="006B49B5">
        <w:rPr>
          <w:rFonts w:ascii="Source Sans Pro" w:eastAsia="Times New Roman" w:hAnsi="Source Sans Pro" w:cs="Times New Roman"/>
          <w:color w:val="333333"/>
          <w:sz w:val="24"/>
          <w:szCs w:val="24"/>
        </w:rPr>
        <w:t>, </w:t>
      </w:r>
      <w:r w:rsidRPr="006B49B5">
        <w:rPr>
          <w:rFonts w:ascii="Source Sans Pro" w:eastAsia="Times New Roman" w:hAnsi="Source Sans Pro" w:cs="Times New Roman"/>
          <w:i/>
          <w:iCs/>
          <w:color w:val="333333"/>
          <w:sz w:val="24"/>
          <w:szCs w:val="24"/>
        </w:rPr>
        <w:t>Distributions from Individual Retirement Arrangements (IRAs)</w:t>
      </w:r>
      <w:r w:rsidRPr="006B49B5">
        <w:rPr>
          <w:rFonts w:ascii="Source Sans Pro" w:eastAsia="Times New Roman" w:hAnsi="Source Sans Pro" w:cs="Times New Roman"/>
          <w:color w:val="333333"/>
          <w:sz w:val="24"/>
          <w:szCs w:val="24"/>
        </w:rPr>
        <w:t>, for additional information.</w:t>
      </w:r>
    </w:p>
    <w:p w14:paraId="1B4111E7"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Is an employer required to make plan contributions for an employee who has turned 70½ and is receiving required minimum distributions?</w:t>
      </w:r>
    </w:p>
    <w:p w14:paraId="2A58836A"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Yes, you must continue contributions for an employee, even if they are receiving </w:t>
      </w:r>
      <w:hyperlink r:id="rId18" w:tooltip="Retirement Topics Required Minimum Distributions RMDs" w:history="1">
        <w:r w:rsidRPr="006B49B5">
          <w:rPr>
            <w:rFonts w:ascii="Source Sans Pro" w:eastAsia="Times New Roman" w:hAnsi="Source Sans Pro" w:cs="Times New Roman"/>
            <w:color w:val="800080"/>
            <w:sz w:val="24"/>
            <w:szCs w:val="24"/>
            <w:u w:val="single"/>
          </w:rPr>
          <w:t>RMDs</w:t>
        </w:r>
      </w:hyperlink>
      <w:r w:rsidRPr="006B49B5">
        <w:rPr>
          <w:rFonts w:ascii="Source Sans Pro" w:eastAsia="Times New Roman" w:hAnsi="Source Sans Pro" w:cs="Times New Roman"/>
          <w:color w:val="333333"/>
          <w:sz w:val="24"/>
          <w:szCs w:val="24"/>
        </w:rPr>
        <w:t xml:space="preserve">. You must also give the employee the option to continue making salary </w:t>
      </w:r>
      <w:proofErr w:type="gramStart"/>
      <w:r w:rsidRPr="006B49B5">
        <w:rPr>
          <w:rFonts w:ascii="Source Sans Pro" w:eastAsia="Times New Roman" w:hAnsi="Source Sans Pro" w:cs="Times New Roman"/>
          <w:color w:val="333333"/>
          <w:sz w:val="24"/>
          <w:szCs w:val="24"/>
        </w:rPr>
        <w:t>deferrals, if</w:t>
      </w:r>
      <w:proofErr w:type="gramEnd"/>
      <w:r w:rsidRPr="006B49B5">
        <w:rPr>
          <w:rFonts w:ascii="Source Sans Pro" w:eastAsia="Times New Roman" w:hAnsi="Source Sans Pro" w:cs="Times New Roman"/>
          <w:color w:val="333333"/>
          <w:sz w:val="24"/>
          <w:szCs w:val="24"/>
        </w:rPr>
        <w:t xml:space="preserve"> the plan permits them. Otherwise, you will fail to follow the plan's terms, causing your plan to lose its qualified status. You may correct this failure through the Employee Plans Compliance Resolution System (</w:t>
      </w:r>
      <w:hyperlink r:id="rId19" w:tooltip="Correcting Plan Errors" w:history="1">
        <w:r w:rsidRPr="006B49B5">
          <w:rPr>
            <w:rFonts w:ascii="Source Sans Pro" w:eastAsia="Times New Roman" w:hAnsi="Source Sans Pro" w:cs="Times New Roman"/>
            <w:color w:val="800080"/>
            <w:sz w:val="24"/>
            <w:szCs w:val="24"/>
            <w:u w:val="single"/>
          </w:rPr>
          <w:t>EPCRS</w:t>
        </w:r>
      </w:hyperlink>
      <w:r w:rsidRPr="006B49B5">
        <w:rPr>
          <w:rFonts w:ascii="Source Sans Pro" w:eastAsia="Times New Roman" w:hAnsi="Source Sans Pro" w:cs="Times New Roman"/>
          <w:color w:val="333333"/>
          <w:sz w:val="24"/>
          <w:szCs w:val="24"/>
        </w:rPr>
        <w:t>).</w:t>
      </w:r>
    </w:p>
    <w:p w14:paraId="20B651B3"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b/>
          <w:bCs/>
          <w:color w:val="333333"/>
          <w:sz w:val="24"/>
          <w:szCs w:val="24"/>
        </w:rPr>
        <w:t>How contributions affect RMDs</w:t>
      </w:r>
      <w:r w:rsidRPr="006B49B5">
        <w:rPr>
          <w:rFonts w:ascii="Source Sans Pro" w:eastAsia="Times New Roman" w:hAnsi="Source Sans Pro" w:cs="Times New Roman"/>
          <w:color w:val="333333"/>
          <w:sz w:val="24"/>
          <w:szCs w:val="24"/>
        </w:rPr>
        <w:br/>
        <w:t>When you calculate an employee’s RMD, consider any contributions that you make for that employee. For defined contribution plans, calculate the RMD for an employee by dividing his or her prior December 31 account balance by a life expectancy factor in the applicable table in Appendix B of </w:t>
      </w:r>
      <w:hyperlink r:id="rId20" w:history="1">
        <w:r w:rsidRPr="006B49B5">
          <w:rPr>
            <w:rFonts w:ascii="Source Sans Pro" w:eastAsia="Times New Roman" w:hAnsi="Source Sans Pro" w:cs="Times New Roman"/>
            <w:color w:val="800080"/>
            <w:sz w:val="24"/>
            <w:szCs w:val="24"/>
            <w:u w:val="single"/>
          </w:rPr>
          <w:t>Pub. 590-B</w:t>
        </w:r>
      </w:hyperlink>
      <w:r w:rsidRPr="006B49B5">
        <w:rPr>
          <w:rFonts w:ascii="Source Sans Pro" w:eastAsia="Times New Roman" w:hAnsi="Source Sans Pro" w:cs="Times New Roman"/>
          <w:color w:val="333333"/>
          <w:sz w:val="24"/>
          <w:szCs w:val="24"/>
        </w:rPr>
        <w:t>. A defined benefit plan generally must make RMDs by distributing the participant’s entire interest as calculated by the plan’s formula in periodic annuity payments for:</w:t>
      </w:r>
    </w:p>
    <w:p w14:paraId="0D6911DA" w14:textId="77777777" w:rsidR="00A6643B" w:rsidRPr="006B49B5" w:rsidRDefault="00A6643B" w:rsidP="00A6643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the participant’s life,</w:t>
      </w:r>
    </w:p>
    <w:p w14:paraId="12DE9929" w14:textId="77777777" w:rsidR="00A6643B" w:rsidRPr="006B49B5" w:rsidRDefault="00A6643B" w:rsidP="00A6643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the joint lives of the participant and beneficiary, or</w:t>
      </w:r>
    </w:p>
    <w:p w14:paraId="00A67FE2" w14:textId="77777777" w:rsidR="00A6643B" w:rsidRPr="006B49B5" w:rsidRDefault="00A6643B" w:rsidP="00A6643B">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a “period certain” (see Treas. Reg. §</w:t>
      </w:r>
      <w:hyperlink r:id="rId21" w:history="1">
        <w:r w:rsidRPr="006B49B5">
          <w:rPr>
            <w:rFonts w:ascii="Source Sans Pro" w:eastAsia="Times New Roman" w:hAnsi="Source Sans Pro" w:cs="Times New Roman"/>
            <w:color w:val="800080"/>
            <w:sz w:val="24"/>
            <w:szCs w:val="24"/>
            <w:u w:val="single"/>
          </w:rPr>
          <w:t>1.401(a)(9)-6, A-3</w:t>
        </w:r>
      </w:hyperlink>
      <w:r w:rsidRPr="006B49B5">
        <w:rPr>
          <w:rFonts w:ascii="Source Sans Pro" w:eastAsia="Times New Roman" w:hAnsi="Source Sans Pro" w:cs="Times New Roman"/>
          <w:color w:val="333333"/>
          <w:sz w:val="24"/>
          <w:szCs w:val="24"/>
        </w:rPr>
        <w:t>).</w:t>
      </w:r>
    </w:p>
    <w:p w14:paraId="0E84A73E"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See also:</w:t>
      </w:r>
    </w:p>
    <w:p w14:paraId="1210BA76" w14:textId="77777777" w:rsidR="00A6643B" w:rsidRPr="006B49B5" w:rsidRDefault="00A6643B" w:rsidP="00A6643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hyperlink r:id="rId22" w:tooltip="RMD Comparison Chart IRAs vs Defined Contribution Plans" w:history="1">
        <w:r w:rsidRPr="006B49B5">
          <w:rPr>
            <w:rFonts w:ascii="Source Sans Pro" w:eastAsia="Times New Roman" w:hAnsi="Source Sans Pro" w:cs="Times New Roman"/>
            <w:color w:val="800080"/>
            <w:sz w:val="24"/>
            <w:szCs w:val="24"/>
            <w:u w:val="single"/>
          </w:rPr>
          <w:t>RMD Comparison Chart</w:t>
        </w:r>
      </w:hyperlink>
      <w:r w:rsidRPr="006B49B5">
        <w:rPr>
          <w:rFonts w:ascii="Source Sans Pro" w:eastAsia="Times New Roman" w:hAnsi="Source Sans Pro" w:cs="Times New Roman"/>
          <w:color w:val="333333"/>
          <w:sz w:val="24"/>
          <w:szCs w:val="24"/>
        </w:rPr>
        <w:t> (IRAs vs. Defined Contribution Plans)</w:t>
      </w:r>
    </w:p>
    <w:p w14:paraId="26CE040B" w14:textId="77777777" w:rsidR="00A6643B" w:rsidRPr="006B49B5" w:rsidRDefault="00A6643B" w:rsidP="00A6643B">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hyperlink r:id="rId23" w:history="1">
        <w:r w:rsidRPr="006B49B5">
          <w:rPr>
            <w:rFonts w:ascii="Source Sans Pro" w:eastAsia="Times New Roman" w:hAnsi="Source Sans Pro" w:cs="Times New Roman"/>
            <w:color w:val="800080"/>
            <w:sz w:val="24"/>
            <w:szCs w:val="24"/>
            <w:u w:val="single"/>
          </w:rPr>
          <w:t>Publication 560</w:t>
        </w:r>
      </w:hyperlink>
      <w:r w:rsidRPr="006B49B5">
        <w:rPr>
          <w:rFonts w:ascii="Source Sans Pro" w:eastAsia="Times New Roman" w:hAnsi="Source Sans Pro" w:cs="Times New Roman"/>
          <w:color w:val="333333"/>
          <w:sz w:val="24"/>
          <w:szCs w:val="24"/>
        </w:rPr>
        <w:t>, </w:t>
      </w:r>
      <w:r w:rsidRPr="006B49B5">
        <w:rPr>
          <w:rFonts w:ascii="Source Sans Pro" w:eastAsia="Times New Roman" w:hAnsi="Source Sans Pro" w:cs="Times New Roman"/>
          <w:i/>
          <w:iCs/>
          <w:color w:val="333333"/>
          <w:sz w:val="24"/>
          <w:szCs w:val="24"/>
        </w:rPr>
        <w:t>Retirement Plans for Small Business (SEP, SIMPLE, and Qualified Plans)</w:t>
      </w:r>
    </w:p>
    <w:p w14:paraId="487DDA8C" w14:textId="77777777" w:rsidR="00A6643B" w:rsidRPr="006B49B5" w:rsidRDefault="00A6643B" w:rsidP="00A6643B">
      <w:pPr>
        <w:shd w:val="clear" w:color="auto" w:fill="FFFFFF"/>
        <w:spacing w:before="300" w:after="150" w:line="240" w:lineRule="auto"/>
        <w:outlineLvl w:val="2"/>
        <w:rPr>
          <w:rFonts w:ascii="Source Sans Pro" w:eastAsia="Times New Roman" w:hAnsi="Source Sans Pro" w:cs="Times New Roman"/>
          <w:b/>
          <w:bCs/>
          <w:color w:val="333333"/>
          <w:sz w:val="29"/>
          <w:szCs w:val="29"/>
        </w:rPr>
      </w:pPr>
      <w:r w:rsidRPr="006B49B5">
        <w:rPr>
          <w:rFonts w:ascii="Source Sans Pro" w:eastAsia="Times New Roman" w:hAnsi="Source Sans Pro" w:cs="Times New Roman"/>
          <w:b/>
          <w:bCs/>
          <w:color w:val="333333"/>
          <w:sz w:val="29"/>
          <w:szCs w:val="29"/>
        </w:rPr>
        <w:t>What are the required minimum distribution requirements for pre-1987 contributions to a 403(b) plan?</w:t>
      </w:r>
    </w:p>
    <w:p w14:paraId="1F360610"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If the 403(b) plan (including any 403(b) plan that received pre-1987 amounts in a direct transfer that complies with Treas. Reg. Section 1.403(b)-10(b)):</w:t>
      </w:r>
    </w:p>
    <w:p w14:paraId="769363D5" w14:textId="77777777" w:rsidR="00A6643B" w:rsidRPr="006B49B5" w:rsidRDefault="00A6643B" w:rsidP="00A6643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has separately accounted and kept records for pre-1987 amounts, and</w:t>
      </w:r>
    </w:p>
    <w:p w14:paraId="0F69E249" w14:textId="77777777" w:rsidR="00A6643B" w:rsidRPr="006B49B5" w:rsidRDefault="00A6643B" w:rsidP="00A6643B">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is for the primary purpose of providing retirement benefits (see the incidental benefit rules in Treas. Reg. Section 1.401-1(b)(1)(I)),</w:t>
      </w:r>
    </w:p>
    <w:p w14:paraId="6C1AC064"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then the pre-1987 amounts (excluding any earnings or gains on such amounts):</w:t>
      </w:r>
    </w:p>
    <w:p w14:paraId="5953AD2B" w14:textId="77777777" w:rsidR="00A6643B" w:rsidRPr="006B49B5" w:rsidRDefault="00A6643B" w:rsidP="00A6643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are not subject to the age 70½ RMD rules of IRC Section 401(a)(9),</w:t>
      </w:r>
    </w:p>
    <w:p w14:paraId="7A2739BD" w14:textId="77777777" w:rsidR="00A6643B" w:rsidRPr="006B49B5" w:rsidRDefault="00A6643B" w:rsidP="00A6643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are not used in calculating age 70½ RMDs from the 403(b) plan, and</w:t>
      </w:r>
    </w:p>
    <w:p w14:paraId="4DDEEFCF" w14:textId="77777777" w:rsidR="00A6643B" w:rsidRPr="006B49B5" w:rsidRDefault="00A6643B" w:rsidP="00A6643B">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don't need to be distributed from the plan until December 31 of the year in which a participant turns age 75 or, if later, April 1 of the calendar year immediately following the calendar year in which the participant retires.</w:t>
      </w:r>
    </w:p>
    <w:p w14:paraId="7CA2C49E"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If the plan includes both pre-1987 and post 1987 amounts, for distributions of any amounts in excess of the age 70½ RMDs, the excess is considered to be from the pre-1987 amounts.</w:t>
      </w:r>
    </w:p>
    <w:p w14:paraId="0B5DDB3C" w14:textId="77777777" w:rsidR="00A6643B" w:rsidRPr="006B49B5" w:rsidRDefault="00A6643B" w:rsidP="00A6643B">
      <w:pPr>
        <w:shd w:val="clear" w:color="auto" w:fill="FFFFFF"/>
        <w:spacing w:after="150" w:line="240" w:lineRule="auto"/>
        <w:rPr>
          <w:rFonts w:ascii="Source Sans Pro" w:eastAsia="Times New Roman" w:hAnsi="Source Sans Pro" w:cs="Times New Roman"/>
          <w:color w:val="333333"/>
          <w:sz w:val="24"/>
          <w:szCs w:val="24"/>
        </w:rPr>
      </w:pPr>
      <w:r w:rsidRPr="006B49B5">
        <w:rPr>
          <w:rFonts w:ascii="Source Sans Pro" w:eastAsia="Times New Roman" w:hAnsi="Source Sans Pro" w:cs="Times New Roman"/>
          <w:color w:val="333333"/>
          <w:sz w:val="24"/>
          <w:szCs w:val="24"/>
        </w:rPr>
        <w:t>If records are not kept for pre-1987 amounts, the entire account balance is subject to the age 70½ RMD rules of IRC section 401(a)(9).</w:t>
      </w:r>
    </w:p>
    <w:p w14:paraId="2AB04DC3" w14:textId="77777777" w:rsidR="00A6643B" w:rsidRDefault="00A6643B" w:rsidP="00A6643B">
      <w:pPr>
        <w:shd w:val="clear" w:color="auto" w:fill="FFFFFF"/>
        <w:spacing w:after="150" w:line="240" w:lineRule="auto"/>
        <w:rPr>
          <w:rFonts w:eastAsia="Times New Roman" w:cs="Times New Roman"/>
          <w:color w:val="333333"/>
          <w:sz w:val="24"/>
          <w:szCs w:val="24"/>
        </w:rPr>
      </w:pPr>
    </w:p>
    <w:p w14:paraId="48A3F7D3" w14:textId="77777777" w:rsidR="00A6643B" w:rsidRDefault="00A6643B" w:rsidP="00A6643B">
      <w:pPr>
        <w:shd w:val="clear" w:color="auto" w:fill="FFFFFF"/>
        <w:spacing w:after="150" w:line="240" w:lineRule="auto"/>
      </w:pPr>
      <w:hyperlink r:id="rId24" w:anchor="1" w:history="1">
        <w:r w:rsidRPr="006B49B5">
          <w:rPr>
            <w:color w:val="0000FF"/>
            <w:u w:val="single"/>
          </w:rPr>
          <w:t>https://www.irs.gov/retirement-plans/retirement-plans-faqs-regarding-required-minimum-distributions#1</w:t>
        </w:r>
      </w:hyperlink>
    </w:p>
    <w:p w14:paraId="48EC6044" w14:textId="77777777" w:rsidR="00A6643B" w:rsidRPr="009A09F4" w:rsidRDefault="00A6643B" w:rsidP="00A6643B">
      <w:pPr>
        <w:spacing w:after="0" w:line="240" w:lineRule="auto"/>
        <w:jc w:val="center"/>
        <w:textAlignment w:val="top"/>
        <w:rPr>
          <w:rFonts w:eastAsia="Times New Roman" w:cs="Helvetica"/>
          <w:caps/>
          <w:color w:val="FFFFFF"/>
          <w:sz w:val="32"/>
          <w:szCs w:val="32"/>
          <w:bdr w:val="single" w:sz="2" w:space="0" w:color="3B444F" w:frame="1"/>
          <w:shd w:val="clear" w:color="auto" w:fill="3B444F"/>
        </w:rPr>
      </w:pP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9639"/>
        <w:gridCol w:w="546"/>
      </w:tblGrid>
      <w:tr w:rsidR="00A6643B" w:rsidRPr="009A6863" w14:paraId="3800F1A3" w14:textId="77777777" w:rsidTr="00234ED1">
        <w:trPr>
          <w:trHeight w:val="828"/>
        </w:trPr>
        <w:tc>
          <w:tcPr>
            <w:tcW w:w="0" w:type="auto"/>
            <w:tcBorders>
              <w:top w:val="nil"/>
              <w:left w:val="nil"/>
              <w:bottom w:val="nil"/>
              <w:right w:val="nil"/>
            </w:tcBorders>
            <w:shd w:val="clear" w:color="auto" w:fill="FFFFFF"/>
            <w:tcMar>
              <w:top w:w="270" w:type="dxa"/>
              <w:left w:w="270" w:type="dxa"/>
              <w:bottom w:w="270" w:type="dxa"/>
              <w:right w:w="270" w:type="dxa"/>
            </w:tcMar>
          </w:tcPr>
          <w:p w14:paraId="2F35E90C" w14:textId="77777777" w:rsidR="00A6643B" w:rsidRPr="006C1E46" w:rsidRDefault="00A6643B" w:rsidP="00234ED1">
            <w:pPr>
              <w:pStyle w:val="NormalWeb"/>
              <w:jc w:val="center"/>
              <w:rPr>
                <w:rFonts w:asciiTheme="minorHAnsi" w:hAnsiTheme="minorHAnsi"/>
                <w:i/>
                <w:sz w:val="28"/>
                <w:szCs w:val="28"/>
              </w:rPr>
            </w:pPr>
            <w:r w:rsidRPr="006C1E46">
              <w:rPr>
                <w:rFonts w:asciiTheme="minorHAnsi" w:hAnsiTheme="minorHAnsi"/>
                <w:b/>
                <w:i/>
                <w:sz w:val="36"/>
                <w:szCs w:val="36"/>
              </w:rPr>
              <w:t>Disclaimer</w:t>
            </w:r>
          </w:p>
          <w:p w14:paraId="423A2AC1" w14:textId="77777777" w:rsidR="00A6643B" w:rsidRPr="006C1E46" w:rsidRDefault="00A6643B" w:rsidP="00234ED1">
            <w:pPr>
              <w:pStyle w:val="NormalWeb"/>
              <w:rPr>
                <w:rFonts w:asciiTheme="minorHAnsi" w:hAnsiTheme="minorHAnsi"/>
                <w:i/>
                <w:sz w:val="22"/>
                <w:szCs w:val="22"/>
              </w:rPr>
            </w:pPr>
            <w:r w:rsidRPr="006C1E46">
              <w:rPr>
                <w:rFonts w:asciiTheme="minorHAnsi" w:hAnsiTheme="minorHAnsi"/>
                <w:i/>
                <w:sz w:val="22"/>
                <w:szCs w:val="22"/>
              </w:rPr>
              <w:t xml:space="preserve">The </w:t>
            </w:r>
            <w:r>
              <w:rPr>
                <w:rFonts w:asciiTheme="minorHAnsi" w:hAnsiTheme="minorHAnsi"/>
                <w:i/>
                <w:sz w:val="22"/>
                <w:szCs w:val="22"/>
              </w:rPr>
              <w:t xml:space="preserve">National </w:t>
            </w:r>
            <w:r w:rsidRPr="006C1E46">
              <w:rPr>
                <w:rFonts w:asciiTheme="minorHAnsi" w:hAnsiTheme="minorHAnsi"/>
                <w:i/>
                <w:sz w:val="22"/>
                <w:szCs w:val="22"/>
              </w:rPr>
              <w:t xml:space="preserve">Scleroderma Foundation expressly disclaims responsibility, and shall have no liability, for any damages, loss, injury, or liability whatsoever suffered as a result of your reliance on the information contained in this </w:t>
            </w:r>
            <w:r>
              <w:rPr>
                <w:rFonts w:asciiTheme="minorHAnsi" w:hAnsiTheme="minorHAnsi"/>
                <w:i/>
                <w:sz w:val="22"/>
                <w:szCs w:val="22"/>
              </w:rPr>
              <w:t>article</w:t>
            </w:r>
            <w:r w:rsidRPr="006C1E46">
              <w:rPr>
                <w:rFonts w:asciiTheme="minorHAnsi" w:hAnsiTheme="minorHAnsi"/>
                <w:i/>
                <w:sz w:val="22"/>
                <w:szCs w:val="22"/>
              </w:rPr>
              <w:t xml:space="preserve">.  </w:t>
            </w:r>
          </w:p>
          <w:p w14:paraId="4C870D32" w14:textId="77777777" w:rsidR="00A6643B" w:rsidRDefault="00A6643B" w:rsidP="00234ED1">
            <w:pPr>
              <w:pStyle w:val="NoSpacing"/>
              <w:rPr>
                <w:i/>
              </w:rPr>
            </w:pPr>
            <w:r w:rsidRPr="006C1E46">
              <w:rPr>
                <w:i/>
              </w:rPr>
              <w:t xml:space="preserve">The </w:t>
            </w:r>
            <w:r>
              <w:rPr>
                <w:i/>
              </w:rPr>
              <w:t xml:space="preserve">National </w:t>
            </w:r>
            <w:r w:rsidRPr="006C1E46">
              <w:rPr>
                <w:i/>
              </w:rPr>
              <w:t xml:space="preserve">Scleroderma Foundation </w:t>
            </w:r>
            <w:r>
              <w:rPr>
                <w:i/>
              </w:rPr>
              <w:t>recommends that you contact a financial planner or investment banker to receive information about your specific financial needs before making any philanthropic decisions.</w:t>
            </w:r>
          </w:p>
          <w:p w14:paraId="74122442" w14:textId="77777777" w:rsidR="00A6643B" w:rsidRPr="006C1E46" w:rsidRDefault="00A6643B" w:rsidP="00234ED1">
            <w:pPr>
              <w:pStyle w:val="NoSpacing"/>
              <w:rPr>
                <w:i/>
              </w:rPr>
            </w:pPr>
          </w:p>
        </w:tc>
        <w:tc>
          <w:tcPr>
            <w:tcW w:w="0" w:type="auto"/>
            <w:tcBorders>
              <w:top w:val="nil"/>
              <w:left w:val="nil"/>
              <w:bottom w:val="nil"/>
              <w:right w:val="nil"/>
            </w:tcBorders>
            <w:shd w:val="clear" w:color="auto" w:fill="FFFFFF"/>
            <w:tcMar>
              <w:top w:w="270" w:type="dxa"/>
              <w:left w:w="270" w:type="dxa"/>
              <w:bottom w:w="270" w:type="dxa"/>
              <w:right w:w="270" w:type="dxa"/>
            </w:tcMar>
          </w:tcPr>
          <w:p w14:paraId="7705E3CC" w14:textId="77777777" w:rsidR="00A6643B" w:rsidRPr="009A6863" w:rsidRDefault="00A6643B" w:rsidP="00234ED1">
            <w:pPr>
              <w:spacing w:after="0" w:line="360" w:lineRule="atLeast"/>
              <w:rPr>
                <w:rFonts w:eastAsia="Times New Roman" w:cs="Arial"/>
                <w:color w:val="333333"/>
              </w:rPr>
            </w:pPr>
          </w:p>
        </w:tc>
      </w:tr>
      <w:tr w:rsidR="00A6643B" w:rsidRPr="009A6863" w14:paraId="067C53FC" w14:textId="77777777" w:rsidTr="00234ED1">
        <w:tc>
          <w:tcPr>
            <w:tcW w:w="0" w:type="auto"/>
            <w:tcBorders>
              <w:top w:val="nil"/>
              <w:left w:val="nil"/>
              <w:bottom w:val="nil"/>
              <w:right w:val="nil"/>
            </w:tcBorders>
            <w:shd w:val="clear" w:color="auto" w:fill="FFFFFF"/>
            <w:tcMar>
              <w:top w:w="270" w:type="dxa"/>
              <w:left w:w="270" w:type="dxa"/>
              <w:bottom w:w="270" w:type="dxa"/>
              <w:right w:w="270" w:type="dxa"/>
            </w:tcMar>
          </w:tcPr>
          <w:p w14:paraId="1742BCAE" w14:textId="77777777" w:rsidR="00A6643B" w:rsidRPr="006C1E46" w:rsidRDefault="00A6643B" w:rsidP="00234ED1">
            <w:pPr>
              <w:spacing w:after="0" w:line="360" w:lineRule="atLeast"/>
              <w:rPr>
                <w:rFonts w:eastAsia="Times New Roman" w:cs="Arial"/>
                <w:i/>
                <w:color w:val="333333"/>
              </w:rPr>
            </w:pPr>
          </w:p>
        </w:tc>
        <w:tc>
          <w:tcPr>
            <w:tcW w:w="0" w:type="auto"/>
            <w:tcBorders>
              <w:top w:val="nil"/>
              <w:left w:val="nil"/>
              <w:bottom w:val="nil"/>
              <w:right w:val="nil"/>
            </w:tcBorders>
            <w:shd w:val="clear" w:color="auto" w:fill="FFFFFF"/>
            <w:tcMar>
              <w:top w:w="270" w:type="dxa"/>
              <w:left w:w="270" w:type="dxa"/>
              <w:bottom w:w="270" w:type="dxa"/>
              <w:right w:w="270" w:type="dxa"/>
            </w:tcMar>
          </w:tcPr>
          <w:p w14:paraId="764D171B" w14:textId="77777777" w:rsidR="00A6643B" w:rsidRPr="009A6863" w:rsidRDefault="00A6643B" w:rsidP="00234ED1">
            <w:pPr>
              <w:spacing w:after="0" w:line="360" w:lineRule="atLeast"/>
              <w:rPr>
                <w:rFonts w:eastAsia="Times New Roman" w:cs="Arial"/>
                <w:color w:val="333333"/>
              </w:rPr>
            </w:pPr>
          </w:p>
        </w:tc>
      </w:tr>
      <w:tr w:rsidR="00A6643B" w:rsidRPr="009A6863" w14:paraId="5B1D6D0C" w14:textId="77777777" w:rsidTr="00234ED1">
        <w:tc>
          <w:tcPr>
            <w:tcW w:w="0" w:type="auto"/>
            <w:tcBorders>
              <w:top w:val="nil"/>
              <w:left w:val="nil"/>
              <w:bottom w:val="nil"/>
              <w:right w:val="nil"/>
            </w:tcBorders>
            <w:shd w:val="clear" w:color="auto" w:fill="FFFFFF"/>
            <w:tcMar>
              <w:top w:w="270" w:type="dxa"/>
              <w:left w:w="270" w:type="dxa"/>
              <w:bottom w:w="270" w:type="dxa"/>
              <w:right w:w="270" w:type="dxa"/>
            </w:tcMar>
          </w:tcPr>
          <w:p w14:paraId="6AAE90AF" w14:textId="77777777" w:rsidR="00A6643B" w:rsidRPr="009A6863" w:rsidRDefault="00A6643B" w:rsidP="00234ED1">
            <w:pPr>
              <w:spacing w:after="0" w:line="360" w:lineRule="atLeast"/>
              <w:rPr>
                <w:rFonts w:eastAsia="Times New Roman" w:cs="Arial"/>
                <w:color w:val="333333"/>
              </w:rPr>
            </w:pPr>
          </w:p>
        </w:tc>
        <w:tc>
          <w:tcPr>
            <w:tcW w:w="0" w:type="auto"/>
            <w:tcBorders>
              <w:top w:val="nil"/>
              <w:left w:val="nil"/>
              <w:bottom w:val="nil"/>
              <w:right w:val="nil"/>
            </w:tcBorders>
            <w:shd w:val="clear" w:color="auto" w:fill="FFFFFF"/>
            <w:tcMar>
              <w:top w:w="270" w:type="dxa"/>
              <w:left w:w="270" w:type="dxa"/>
              <w:bottom w:w="270" w:type="dxa"/>
              <w:right w:w="270" w:type="dxa"/>
            </w:tcMar>
          </w:tcPr>
          <w:p w14:paraId="45F174DF" w14:textId="77777777" w:rsidR="00A6643B" w:rsidRPr="009A6863" w:rsidRDefault="00A6643B" w:rsidP="00234ED1">
            <w:pPr>
              <w:spacing w:after="0" w:line="360" w:lineRule="atLeast"/>
              <w:rPr>
                <w:rFonts w:eastAsia="Times New Roman" w:cs="Arial"/>
                <w:color w:val="333333"/>
              </w:rPr>
            </w:pPr>
          </w:p>
        </w:tc>
      </w:tr>
    </w:tbl>
    <w:p w14:paraId="12ED3DA1" w14:textId="77777777" w:rsidR="00A6643B" w:rsidRPr="009A6863" w:rsidRDefault="00A6643B" w:rsidP="00A6643B">
      <w:pPr>
        <w:spacing w:after="0" w:line="240" w:lineRule="auto"/>
        <w:textAlignment w:val="top"/>
        <w:rPr>
          <w:rFonts w:eastAsia="Times New Roman" w:cs="Helvetica"/>
          <w:color w:val="3B444F"/>
        </w:rPr>
      </w:pPr>
    </w:p>
    <w:p w14:paraId="1259D5DB" w14:textId="77777777" w:rsidR="00DE2F31" w:rsidRPr="00A6643B" w:rsidRDefault="00DE2F31" w:rsidP="00A6643B"/>
    <w:sectPr w:rsidR="00DE2F31" w:rsidRPr="00A6643B" w:rsidSect="00256A7A">
      <w:headerReference w:type="default" r:id="rId25"/>
      <w:headerReference w:type="first" r:id="rId26"/>
      <w:footerReference w:type="first" r:id="rId27"/>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4CBC" w14:textId="77777777" w:rsidR="008969AA" w:rsidRDefault="008969AA" w:rsidP="005F5A97">
      <w:r>
        <w:separator/>
      </w:r>
    </w:p>
  </w:endnote>
  <w:endnote w:type="continuationSeparator" w:id="0">
    <w:p w14:paraId="11E6C71A" w14:textId="77777777" w:rsidR="008969AA" w:rsidRDefault="008969AA"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0B26"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57D3" w14:textId="77777777" w:rsidR="008969AA" w:rsidRDefault="008969AA" w:rsidP="005F5A97">
      <w:r>
        <w:separator/>
      </w:r>
    </w:p>
  </w:footnote>
  <w:footnote w:type="continuationSeparator" w:id="0">
    <w:p w14:paraId="1AA2EB94" w14:textId="77777777" w:rsidR="008969AA" w:rsidRDefault="008969AA"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492F"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3CB14D71"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4926"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34E9F415" w14:textId="77777777" w:rsidTr="005F5A97">
      <w:trPr>
        <w:cantSplit/>
      </w:trPr>
      <w:tc>
        <w:tcPr>
          <w:tcW w:w="3595" w:type="pct"/>
        </w:tcPr>
        <w:p w14:paraId="7EFA1031"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5A4C1C63" w14:textId="77777777" w:rsidR="005F5A97" w:rsidRDefault="005F5A97" w:rsidP="005F5A97">
          <w:pPr>
            <w:pStyle w:val="Header"/>
            <w:jc w:val="right"/>
          </w:pPr>
          <w:r>
            <w:rPr>
              <w:noProof/>
            </w:rPr>
            <w:drawing>
              <wp:inline distT="0" distB="0" distL="0" distR="0" wp14:anchorId="1050ACA7" wp14:editId="01FC3314">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7F01376E" w14:textId="77777777" w:rsidTr="00695409">
      <w:tc>
        <w:tcPr>
          <w:tcW w:w="3595" w:type="pct"/>
          <w:vAlign w:val="bottom"/>
        </w:tcPr>
        <w:p w14:paraId="0E45959C" w14:textId="2FED03D6" w:rsidR="00BB287B" w:rsidRDefault="00A6643B"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Minimum Distributions and NSFM</w:t>
          </w:r>
          <w:r w:rsidR="005F5A97">
            <w:rPr>
              <w:rFonts w:ascii="Como SemiBold" w:hAnsi="Como SemiBold" w:cs="Como SemiBold"/>
              <w:b/>
              <w:bCs/>
              <w:color w:val="00A99D"/>
              <w:sz w:val="40"/>
              <w:szCs w:val="40"/>
            </w:rPr>
            <w:t xml:space="preserve"> </w:t>
          </w:r>
        </w:p>
        <w:p w14:paraId="1E893C31" w14:textId="32B9050E" w:rsidR="005F5A97" w:rsidRPr="00BB287B" w:rsidRDefault="005F5A97" w:rsidP="005F5A97">
          <w:pPr>
            <w:pStyle w:val="BasicParagraph"/>
            <w:suppressAutoHyphens/>
            <w:spacing w:line="240" w:lineRule="auto"/>
            <w:rPr>
              <w:rFonts w:ascii="Como SemiBold" w:hAnsi="Como SemiBold" w:cs="Como SemiBold"/>
              <w:b/>
              <w:bCs/>
              <w:color w:val="00A99D"/>
            </w:rPr>
          </w:pPr>
        </w:p>
      </w:tc>
      <w:tc>
        <w:tcPr>
          <w:tcW w:w="1405" w:type="pct"/>
          <w:vMerge/>
        </w:tcPr>
        <w:p w14:paraId="11D6F853" w14:textId="77777777" w:rsidR="005F5A97" w:rsidRDefault="005F5A97" w:rsidP="005F5A97">
          <w:pPr>
            <w:pStyle w:val="Header"/>
          </w:pPr>
        </w:p>
      </w:tc>
    </w:tr>
  </w:tbl>
  <w:p w14:paraId="6CB86866" w14:textId="77777777" w:rsidR="005F5A97" w:rsidRDefault="005F5A97">
    <w:pPr>
      <w:pStyle w:val="Header"/>
    </w:pPr>
  </w:p>
  <w:p w14:paraId="798A118E" w14:textId="77777777" w:rsidR="005F5A97" w:rsidRDefault="008969AA">
    <w:pPr>
      <w:pStyle w:val="Header"/>
    </w:pPr>
    <w:r>
      <w:pict w14:anchorId="4340376B">
        <v:rect id="_x0000_i1025" style="width:540pt;height:1.5pt" o:hralign="center" o:hrstd="t" o:hrnoshade="t" o:hr="t" fillcolor="#00a99d" stroked="f"/>
      </w:pict>
    </w:r>
  </w:p>
  <w:p w14:paraId="40D06235" w14:textId="77777777" w:rsidR="00A15ECB" w:rsidRDefault="00A15ECB">
    <w:pPr>
      <w:pStyle w:val="Header"/>
    </w:pPr>
  </w:p>
  <w:p w14:paraId="15545B35"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10E"/>
    <w:multiLevelType w:val="multilevel"/>
    <w:tmpl w:val="E53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60F5"/>
    <w:multiLevelType w:val="multilevel"/>
    <w:tmpl w:val="D3EA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F1B0B"/>
    <w:multiLevelType w:val="multilevel"/>
    <w:tmpl w:val="51CE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C4698"/>
    <w:multiLevelType w:val="multilevel"/>
    <w:tmpl w:val="E94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00B78"/>
    <w:multiLevelType w:val="multilevel"/>
    <w:tmpl w:val="6A5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3B"/>
    <w:rsid w:val="000C71FA"/>
    <w:rsid w:val="00256A7A"/>
    <w:rsid w:val="00335693"/>
    <w:rsid w:val="00546C64"/>
    <w:rsid w:val="005F5A97"/>
    <w:rsid w:val="00695C8E"/>
    <w:rsid w:val="0075724D"/>
    <w:rsid w:val="00854B1A"/>
    <w:rsid w:val="008969AA"/>
    <w:rsid w:val="00A15ECB"/>
    <w:rsid w:val="00A6643B"/>
    <w:rsid w:val="00BB287B"/>
    <w:rsid w:val="00BD3AB3"/>
    <w:rsid w:val="00D546A5"/>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E6D71"/>
  <w15:chartTrackingRefBased/>
  <w15:docId w15:val="{52A06B41-55F8-49C2-96C0-27846EC4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3B"/>
    <w:pPr>
      <w:spacing w:after="160" w:line="259" w:lineRule="auto"/>
    </w:pPr>
    <w:rPr>
      <w:rFonts w:asciiTheme="minorHAnsi" w:hAnsiTheme="minorHAnsi"/>
    </w:rPr>
  </w:style>
  <w:style w:type="paragraph" w:styleId="Heading3">
    <w:name w:val="heading 3"/>
    <w:basedOn w:val="Normal"/>
    <w:link w:val="Heading3Char"/>
    <w:uiPriority w:val="9"/>
    <w:qFormat/>
    <w:rsid w:val="00A66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3Char">
    <w:name w:val="Heading 3 Char"/>
    <w:basedOn w:val="DefaultParagraphFont"/>
    <w:link w:val="Heading3"/>
    <w:uiPriority w:val="9"/>
    <w:rsid w:val="00A6643B"/>
    <w:rPr>
      <w:rFonts w:ascii="Times New Roman" w:eastAsia="Times New Roman" w:hAnsi="Times New Roman" w:cs="Times New Roman"/>
      <w:b/>
      <w:bCs/>
      <w:sz w:val="27"/>
      <w:szCs w:val="27"/>
    </w:rPr>
  </w:style>
  <w:style w:type="paragraph" w:styleId="NormalWeb">
    <w:name w:val="Normal (Web)"/>
    <w:basedOn w:val="Normal"/>
    <w:uiPriority w:val="99"/>
    <w:unhideWhenUsed/>
    <w:rsid w:val="00A664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643B"/>
    <w:rPr>
      <w:rFonts w:asciiTheme="minorHAnsi" w:hAnsiTheme="minorHAnsi"/>
    </w:rPr>
  </w:style>
  <w:style w:type="character" w:styleId="Strong">
    <w:name w:val="Strong"/>
    <w:basedOn w:val="DefaultParagraphFont"/>
    <w:uiPriority w:val="22"/>
    <w:qFormat/>
    <w:rsid w:val="00A66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590b/index.html" TargetMode="External"/><Relationship Id="rId13" Type="http://schemas.openxmlformats.org/officeDocument/2006/relationships/hyperlink" Target="https://www.irs.gov/pub/irs-pdf/f5329.pdf" TargetMode="External"/><Relationship Id="rId18" Type="http://schemas.openxmlformats.org/officeDocument/2006/relationships/hyperlink" Target="https://www.irs.gov/retirement-plans/plan-participant-employee/retirement-topics-required-minimum-distributions-rmd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gpo.gov/fdsys/pkg/CFR-2010-title26-vol5/xml/CFR-2010-title26-vol5-sec1-401-9.xml" TargetMode="External"/><Relationship Id="rId7" Type="http://schemas.openxmlformats.org/officeDocument/2006/relationships/hyperlink" Target="https://www.irs.gov/publications/p590b/index.html" TargetMode="External"/><Relationship Id="rId12" Type="http://schemas.openxmlformats.org/officeDocument/2006/relationships/hyperlink" Target="https://www.irs.gov/retirement-plans/plan-participant-employee/required-minimum-distribution-worksheets" TargetMode="External"/><Relationship Id="rId17" Type="http://schemas.openxmlformats.org/officeDocument/2006/relationships/hyperlink" Target="https://www.irs.gov/publications/p590b/index.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rs.gov/publications/p590b/index.html" TargetMode="External"/><Relationship Id="rId20" Type="http://schemas.openxmlformats.org/officeDocument/2006/relationships/hyperlink" Target="https://www.irs.gov/publications/p590b/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lications/p590b/index.html" TargetMode="External"/><Relationship Id="rId24" Type="http://schemas.openxmlformats.org/officeDocument/2006/relationships/hyperlink" Target="https://www.irs.gov/retirement-plans/retirement-plans-faqs-regarding-required-minimum-distributions" TargetMode="External"/><Relationship Id="rId5" Type="http://schemas.openxmlformats.org/officeDocument/2006/relationships/footnotes" Target="footnotes.xml"/><Relationship Id="rId15" Type="http://schemas.openxmlformats.org/officeDocument/2006/relationships/hyperlink" Target="https://www.irs.gov/pub/irs-pdf/i5329.pdf" TargetMode="External"/><Relationship Id="rId23" Type="http://schemas.openxmlformats.org/officeDocument/2006/relationships/hyperlink" Target="https://www.irs.gov/publications/p560/index.html" TargetMode="External"/><Relationship Id="rId28" Type="http://schemas.openxmlformats.org/officeDocument/2006/relationships/fontTable" Target="fontTable.xml"/><Relationship Id="rId10" Type="http://schemas.openxmlformats.org/officeDocument/2006/relationships/hyperlink" Target="https://www.irs.gov/publications/p590b/index.html" TargetMode="External"/><Relationship Id="rId19" Type="http://schemas.openxmlformats.org/officeDocument/2006/relationships/hyperlink" Target="https://www.irs.gov/retirement-plans/correcting-plan-errors" TargetMode="External"/><Relationship Id="rId4" Type="http://schemas.openxmlformats.org/officeDocument/2006/relationships/webSettings" Target="webSettings.xml"/><Relationship Id="rId9" Type="http://schemas.openxmlformats.org/officeDocument/2006/relationships/hyperlink" Target="https://www.irs.gov/publications/p590b/index.html" TargetMode="External"/><Relationship Id="rId14" Type="http://schemas.openxmlformats.org/officeDocument/2006/relationships/hyperlink" Target="https://www.irs.gov/pub/irs-pdf/f5329.pdf" TargetMode="External"/><Relationship Id="rId22" Type="http://schemas.openxmlformats.org/officeDocument/2006/relationships/hyperlink" Target="https://www.irs.gov/retirement-plans/rmd-comparison-chart-iras-vs-defined-contribution-plans"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3</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2022-02-02T17:33:00Z</dcterms:created>
  <dcterms:modified xsi:type="dcterms:W3CDTF">2022-02-02T17:36:00Z</dcterms:modified>
</cp:coreProperties>
</file>